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8"/>
        <w:gridCol w:w="2323"/>
        <w:gridCol w:w="1663"/>
        <w:gridCol w:w="1107"/>
        <w:gridCol w:w="174"/>
        <w:gridCol w:w="1756"/>
        <w:gridCol w:w="261"/>
        <w:gridCol w:w="1114"/>
      </w:tblGrid>
      <w:tr w:rsidR="008549C2" w:rsidRPr="006F5F41" w:rsidTr="006F5F41">
        <w:trPr>
          <w:trHeight w:val="1091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:rsidR="008549C2" w:rsidRPr="006F5F41" w:rsidRDefault="00DF353F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8B319E">
              <w:rPr>
                <w:rStyle w:val="a8"/>
                <w:rFonts w:eastAsia="Batang"/>
                <w:szCs w:val="24"/>
              </w:rPr>
              <w:t>Pharmaceutics and Pharmaceutical Technology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473A57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:rsidR="00DF353F" w:rsidRDefault="00DF353F" w:rsidP="00DF353F">
            <w:pPr>
              <w:pStyle w:val="a9"/>
              <w:numPr>
                <w:ilvl w:val="0"/>
                <w:numId w:val="12"/>
              </w:numPr>
              <w:bidi w:val="0"/>
              <w:ind w:left="477" w:right="52" w:hanging="270"/>
              <w:jc w:val="lowKashida"/>
              <w:rPr>
                <w:rStyle w:val="a8"/>
                <w:rFonts w:eastAsia="Batang"/>
                <w:i w:val="0"/>
                <w:iCs/>
                <w:szCs w:val="24"/>
              </w:rPr>
            </w:pPr>
            <w:r w:rsidRPr="00F92DEB">
              <w:rPr>
                <w:rStyle w:val="a8"/>
                <w:rFonts w:eastAsia="Batang"/>
                <w:szCs w:val="24"/>
              </w:rPr>
              <w:t>Clinical Cases</w:t>
            </w:r>
            <w:r>
              <w:rPr>
                <w:rStyle w:val="a8"/>
                <w:rFonts w:eastAsia="Batang"/>
                <w:szCs w:val="24"/>
              </w:rPr>
              <w:t xml:space="preserve"> </w:t>
            </w:r>
          </w:p>
          <w:p w:rsidR="00EA4C02" w:rsidRPr="00EA4C02" w:rsidRDefault="00EA4C02" w:rsidP="00EA4C02">
            <w:pPr>
              <w:spacing w:before="120" w:after="0" w:line="240" w:lineRule="auto"/>
              <w:jc w:val="both"/>
              <w:rPr>
                <w:rFonts w:eastAsia="Batang" w:cs="Times New Roman"/>
                <w:i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:rsidR="008549C2" w:rsidRPr="006F5F41" w:rsidRDefault="00DF353F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5A2C60">
              <w:rPr>
                <w:rFonts w:hint="cs"/>
                <w:sz w:val="24"/>
                <w:szCs w:val="24"/>
                <w:rtl/>
                <w:lang w:bidi="ar-JO"/>
              </w:rPr>
              <w:t>1702478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:rsidR="008549C2" w:rsidRPr="006F5F41" w:rsidRDefault="0080761A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8140A1">
              <w:rPr>
                <w:b/>
                <w:bCs/>
                <w:sz w:val="20"/>
                <w:szCs w:val="20"/>
              </w:rPr>
              <w:t>1703</w:t>
            </w:r>
            <w:r>
              <w:rPr>
                <w:b/>
                <w:bCs/>
                <w:sz w:val="20"/>
                <w:szCs w:val="20"/>
              </w:rPr>
              <w:t>111</w:t>
            </w:r>
          </w:p>
        </w:tc>
      </w:tr>
      <w:tr w:rsidR="00473A57" w:rsidRPr="006F5F41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:rsidR="008549C2" w:rsidRPr="006F5F41" w:rsidRDefault="0080761A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1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:rsidR="008549C2" w:rsidRPr="00473A57" w:rsidRDefault="008549C2" w:rsidP="003C3A2A">
            <w:pPr>
              <w:pStyle w:val="a9"/>
              <w:bidi w:val="0"/>
              <w:ind w:right="-90"/>
              <w:jc w:val="lowKashida"/>
              <w:rPr>
                <w:rFonts w:eastAsia="Batang"/>
                <w:iCs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8549C2" w:rsidRPr="006F5F41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 w:rsidTr="006B324C">
        <w:trPr>
          <w:trHeight w:val="397"/>
        </w:trPr>
        <w:tc>
          <w:tcPr>
            <w:tcW w:w="10206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vAlign w:val="center"/>
          </w:tcPr>
          <w:p w:rsidR="00DF353F" w:rsidRDefault="00DF353F" w:rsidP="00DF353F">
            <w:pPr>
              <w:ind w:left="-709"/>
              <w:jc w:val="center"/>
              <w:rPr>
                <w:rFonts w:asciiTheme="majorBidi" w:hAnsiTheme="majorBidi" w:cstheme="majorBidi"/>
              </w:rPr>
            </w:pPr>
            <w:r w:rsidRPr="00DF353F">
              <w:rPr>
                <w:rFonts w:asciiTheme="majorBidi" w:hAnsiTheme="majorBidi" w:cstheme="majorBidi"/>
              </w:rPr>
              <w:t xml:space="preserve">course is designed to provide the student with an introduction to integrative therapeutic modalities </w:t>
            </w:r>
            <w:r>
              <w:rPr>
                <w:rFonts w:asciiTheme="majorBidi" w:hAnsiTheme="majorBidi" w:cstheme="majorBidi"/>
              </w:rPr>
              <w:t>which</w:t>
            </w:r>
          </w:p>
          <w:p w:rsidR="00DF353F" w:rsidRDefault="00DF353F" w:rsidP="00DF353F">
            <w:pPr>
              <w:ind w:left="-709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</w:t>
            </w:r>
            <w:r w:rsidRPr="00DF353F">
              <w:rPr>
                <w:rFonts w:asciiTheme="majorBidi" w:hAnsiTheme="majorBidi" w:cstheme="majorBidi"/>
              </w:rPr>
              <w:t xml:space="preserve">are used in health care. Clinical cases from different medical branches each session will be used to </w:t>
            </w:r>
          </w:p>
          <w:p w:rsidR="00DF353F" w:rsidRDefault="00DF353F" w:rsidP="00DF353F">
            <w:pPr>
              <w:ind w:left="-709"/>
              <w:jc w:val="center"/>
              <w:rPr>
                <w:rFonts w:asciiTheme="majorBidi" w:hAnsiTheme="majorBidi" w:cstheme="majorBidi"/>
              </w:rPr>
            </w:pPr>
            <w:r w:rsidRPr="00DF353F">
              <w:rPr>
                <w:rFonts w:asciiTheme="majorBidi" w:hAnsiTheme="majorBidi" w:cstheme="majorBidi"/>
              </w:rPr>
              <w:t xml:space="preserve">develop the students ability to assess a patient’s condition, determine reasonable treatment alternatives, select </w:t>
            </w:r>
          </w:p>
          <w:p w:rsidR="00DF353F" w:rsidRDefault="00DF353F" w:rsidP="00DF353F">
            <w:pPr>
              <w:ind w:left="-709"/>
              <w:jc w:val="center"/>
              <w:rPr>
                <w:rFonts w:asciiTheme="majorBidi" w:hAnsiTheme="majorBidi" w:cstheme="majorBidi"/>
              </w:rPr>
            </w:pPr>
            <w:r w:rsidRPr="00DF353F">
              <w:rPr>
                <w:rFonts w:asciiTheme="majorBidi" w:hAnsiTheme="majorBidi" w:cstheme="majorBidi"/>
              </w:rPr>
              <w:t xml:space="preserve">appropriate therapy (pharmacological and non-pharmacological therapy), monitoring parameters </w:t>
            </w:r>
          </w:p>
          <w:p w:rsidR="00DF353F" w:rsidRDefault="00DF353F" w:rsidP="00DF353F">
            <w:pPr>
              <w:ind w:left="-709"/>
              <w:jc w:val="center"/>
              <w:rPr>
                <w:rFonts w:asciiTheme="majorBidi" w:hAnsiTheme="majorBidi" w:cstheme="majorBidi"/>
              </w:rPr>
            </w:pPr>
            <w:r w:rsidRPr="00DF353F">
              <w:rPr>
                <w:rFonts w:asciiTheme="majorBidi" w:hAnsiTheme="majorBidi" w:cstheme="majorBidi"/>
              </w:rPr>
              <w:t xml:space="preserve">and to justify those choices by utilizing knowledge and skills acquired in clinical pharmacy </w:t>
            </w:r>
          </w:p>
          <w:p w:rsidR="008549C2" w:rsidRPr="00DF353F" w:rsidRDefault="00DF353F" w:rsidP="00DF353F">
            <w:pPr>
              <w:ind w:left="-709"/>
              <w:jc w:val="center"/>
              <w:rPr>
                <w:rFonts w:asciiTheme="majorBidi" w:hAnsiTheme="majorBidi" w:cstheme="majorBidi"/>
              </w:rPr>
            </w:pPr>
            <w:r w:rsidRPr="00DF353F">
              <w:rPr>
                <w:rFonts w:asciiTheme="majorBidi" w:hAnsiTheme="majorBidi" w:cstheme="majorBidi"/>
              </w:rPr>
              <w:t>and therapeutics I.</w:t>
            </w: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shd w:val="pct12" w:color="auto" w:fill="auto"/>
            <w:vAlign w:val="center"/>
          </w:tcPr>
          <w:p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 w:rsidTr="006B324C">
        <w:trPr>
          <w:trHeight w:val="397"/>
        </w:trPr>
        <w:tc>
          <w:tcPr>
            <w:tcW w:w="10206" w:type="dxa"/>
            <w:vAlign w:val="center"/>
          </w:tcPr>
          <w:p w:rsidR="00DF353F" w:rsidRDefault="00DF353F" w:rsidP="00DF353F">
            <w:pPr>
              <w:spacing w:after="0" w:line="240" w:lineRule="auto"/>
              <w:ind w:right="-90"/>
            </w:pPr>
            <w:r>
              <w:t xml:space="preserve">1. Enhance the student's therapeutic problem-solving skills so that he can document , integrate and apply pathophysiologic and </w:t>
            </w:r>
            <w:proofErr w:type="spellStart"/>
            <w:r>
              <w:t>pharmacotherapeutic</w:t>
            </w:r>
            <w:proofErr w:type="spellEnd"/>
            <w:r>
              <w:t xml:space="preserve"> knowledge in order to recognize the signs and symptoms for certain conditions such as gastrointestinal, and endocrine based on an appropriate understanding of the underlying pathophysiology and diagnostic criteria. </w:t>
            </w:r>
          </w:p>
          <w:p w:rsidR="00DF353F" w:rsidRDefault="00DF353F" w:rsidP="00DF353F">
            <w:pPr>
              <w:spacing w:after="0" w:line="240" w:lineRule="auto"/>
              <w:ind w:right="-90"/>
            </w:pPr>
            <w:r>
              <w:t xml:space="preserve">2. Gain familiarity with diagnostic tests and laboratory tests and the ability to make an interpretation for </w:t>
            </w:r>
            <w:proofErr w:type="spellStart"/>
            <w:r>
              <w:t>it's</w:t>
            </w:r>
            <w:proofErr w:type="spellEnd"/>
            <w:r>
              <w:t xml:space="preserve"> results. </w:t>
            </w:r>
          </w:p>
          <w:p w:rsidR="00DF353F" w:rsidRDefault="00DF353F" w:rsidP="00DF353F">
            <w:pPr>
              <w:spacing w:after="0" w:line="240" w:lineRule="auto"/>
              <w:ind w:right="-90"/>
            </w:pPr>
            <w:r>
              <w:t xml:space="preserve">3. Compare the various treatment options and select and/or recommend patient-specific treatment therapy plans including drugs, life style, and monitoring parameters to control disease </w:t>
            </w:r>
          </w:p>
          <w:p w:rsidR="00DF353F" w:rsidRDefault="00DF353F" w:rsidP="00DF353F">
            <w:pPr>
              <w:spacing w:after="0" w:line="240" w:lineRule="auto"/>
              <w:ind w:right="-90"/>
            </w:pPr>
            <w:r>
              <w:lastRenderedPageBreak/>
              <w:t xml:space="preserve">4. Evaluate the appropriateness of patient-specific drug therapy regimens. </w:t>
            </w:r>
          </w:p>
          <w:p w:rsidR="00DF353F" w:rsidRDefault="00DF353F" w:rsidP="00DF353F">
            <w:pPr>
              <w:spacing w:after="0" w:line="240" w:lineRule="auto"/>
              <w:ind w:right="-90"/>
            </w:pPr>
            <w:r>
              <w:t xml:space="preserve">5. Counsel patients regarding the proper use of the drugs used. </w:t>
            </w:r>
          </w:p>
          <w:p w:rsidR="00DF353F" w:rsidRDefault="00DF353F" w:rsidP="00DF353F">
            <w:pPr>
              <w:spacing w:after="0" w:line="240" w:lineRule="auto"/>
              <w:ind w:right="-90"/>
            </w:pPr>
            <w:r>
              <w:t xml:space="preserve">6. Monitor expected therapeutic outcomes and potential adverse effects of drug treatment, including frequency of monitoring. </w:t>
            </w:r>
          </w:p>
          <w:p w:rsidR="008549C2" w:rsidRPr="00DF353F" w:rsidRDefault="00DF353F" w:rsidP="00DF353F">
            <w:pPr>
              <w:spacing w:after="0" w:line="240" w:lineRule="auto"/>
              <w:ind w:right="-90"/>
              <w:rPr>
                <w:rtl/>
              </w:rPr>
            </w:pPr>
            <w:r>
              <w:t>7. Practice what students have learned in the virtual pharmacy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</w:pPr>
            <w:r w:rsidRPr="006B324C">
              <w:lastRenderedPageBreak/>
              <w:t>CILOs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Knowledge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5E" w:rsidRPr="008D2EDA" w:rsidRDefault="00EB2C5E" w:rsidP="00EB2C5E">
            <w:pPr>
              <w:pStyle w:val="a4"/>
              <w:shd w:val="clear" w:color="auto" w:fill="FFFFFF"/>
              <w:ind w:left="0" w:firstLine="720"/>
              <w:rPr>
                <w:rFonts w:asciiTheme="majorBidi" w:hAnsiTheme="majorBidi" w:cstheme="majorBidi"/>
                <w:szCs w:val="24"/>
              </w:rPr>
            </w:pPr>
            <w:r w:rsidRPr="008D2EDA">
              <w:rPr>
                <w:rFonts w:asciiTheme="majorBidi" w:hAnsiTheme="majorBidi" w:cstheme="majorBidi"/>
                <w:szCs w:val="24"/>
              </w:rPr>
              <w:t xml:space="preserve">A.1 knowledge of clinical manifestations, complications, goals of pharmacotherapy and patient education of selected respiratory, renal and infectious diseases. </w:t>
            </w:r>
          </w:p>
          <w:p w:rsidR="00EB2C5E" w:rsidRPr="008D2EDA" w:rsidRDefault="00EB2C5E" w:rsidP="00EB2C5E">
            <w:pPr>
              <w:pStyle w:val="a4"/>
              <w:shd w:val="clear" w:color="auto" w:fill="FFFFFF"/>
              <w:ind w:left="0" w:firstLine="720"/>
              <w:rPr>
                <w:rFonts w:asciiTheme="majorBidi" w:hAnsiTheme="majorBidi" w:cstheme="majorBidi"/>
                <w:szCs w:val="24"/>
              </w:rPr>
            </w:pPr>
            <w:r w:rsidRPr="008D2EDA">
              <w:rPr>
                <w:rFonts w:asciiTheme="majorBidi" w:hAnsiTheme="majorBidi" w:cstheme="majorBidi"/>
                <w:szCs w:val="24"/>
              </w:rPr>
              <w:t>A.2 knowledge of clinical uses, pharmacokinetics, clinically significant side effects &amp; drug interactions and contraindications to medications used in the treatment of respiratory, renal and infectious diseases.</w:t>
            </w:r>
          </w:p>
          <w:p w:rsidR="006B324C" w:rsidRPr="006B324C" w:rsidRDefault="00EB2C5E" w:rsidP="00EB2C5E">
            <w:pPr>
              <w:spacing w:after="0" w:line="240" w:lineRule="auto"/>
              <w:ind w:right="-90"/>
            </w:pPr>
            <w:r w:rsidRPr="008D2EDA">
              <w:rPr>
                <w:rFonts w:asciiTheme="majorBidi" w:hAnsiTheme="majorBidi" w:cstheme="majorBidi"/>
                <w:sz w:val="24"/>
                <w:szCs w:val="24"/>
              </w:rPr>
              <w:t>A.3 knowledge of how to Provide patient education about disease and medications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Skills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5E" w:rsidRPr="008D2EDA" w:rsidRDefault="00EB2C5E" w:rsidP="00EB2C5E">
            <w:pPr>
              <w:pStyle w:val="a4"/>
              <w:shd w:val="clear" w:color="auto" w:fill="FFFFFF"/>
              <w:ind w:left="0" w:firstLine="720"/>
              <w:rPr>
                <w:rFonts w:asciiTheme="majorBidi" w:hAnsiTheme="majorBidi" w:cstheme="majorBidi"/>
                <w:szCs w:val="24"/>
              </w:rPr>
            </w:pPr>
            <w:r w:rsidRPr="008D2EDA">
              <w:rPr>
                <w:rFonts w:asciiTheme="majorBidi" w:hAnsiTheme="majorBidi" w:cstheme="majorBidi"/>
                <w:szCs w:val="24"/>
              </w:rPr>
              <w:t>B.1 Through short case discussion, to enable students to identify drug-related problems and recommend the appropriate pharmacotherapy treatment.</w:t>
            </w:r>
          </w:p>
          <w:p w:rsidR="00EB2C5E" w:rsidRDefault="00EB2C5E" w:rsidP="00EB2C5E">
            <w:pPr>
              <w:pStyle w:val="a4"/>
              <w:shd w:val="clear" w:color="auto" w:fill="FFFFFF"/>
              <w:ind w:left="0" w:firstLine="720"/>
              <w:rPr>
                <w:rFonts w:asciiTheme="majorBidi" w:hAnsiTheme="majorBidi" w:cstheme="majorBidi"/>
                <w:szCs w:val="24"/>
              </w:rPr>
            </w:pPr>
            <w:r w:rsidRPr="008D2EDA">
              <w:rPr>
                <w:rFonts w:asciiTheme="majorBidi" w:hAnsiTheme="majorBidi" w:cstheme="majorBidi"/>
                <w:szCs w:val="24"/>
              </w:rPr>
              <w:t xml:space="preserve"> B.2 Students develop the ability to recognize diseases signs and symptoms, </w:t>
            </w:r>
            <w:proofErr w:type="spellStart"/>
            <w:r w:rsidRPr="008D2EDA">
              <w:rPr>
                <w:rFonts w:asciiTheme="majorBidi" w:hAnsiTheme="majorBidi" w:cstheme="majorBidi"/>
                <w:szCs w:val="24"/>
              </w:rPr>
              <w:t>drugs's</w:t>
            </w:r>
            <w:proofErr w:type="spellEnd"/>
            <w:r w:rsidRPr="008D2EDA">
              <w:rPr>
                <w:rFonts w:asciiTheme="majorBidi" w:hAnsiTheme="majorBidi" w:cstheme="majorBidi"/>
                <w:szCs w:val="24"/>
              </w:rPr>
              <w:t xml:space="preserve"> effect on curing or reliving those signs and symptoms. Monitor the therapy plan, detect </w:t>
            </w:r>
            <w:r w:rsidRPr="00F50194">
              <w:rPr>
                <w:rFonts w:asciiTheme="majorBidi" w:hAnsiTheme="majorBidi" w:cstheme="majorBidi"/>
                <w:szCs w:val="24"/>
              </w:rPr>
              <w:t>contraindications, drug –drug interactions and side effects</w:t>
            </w:r>
          </w:p>
          <w:p w:rsidR="00EB2C5E" w:rsidRDefault="00EB2C5E" w:rsidP="00EB2C5E">
            <w:pPr>
              <w:pStyle w:val="a4"/>
              <w:shd w:val="clear" w:color="auto" w:fill="FFFFFF"/>
              <w:ind w:left="0" w:firstLine="720"/>
              <w:rPr>
                <w:rFonts w:asciiTheme="majorBidi" w:hAnsiTheme="majorBidi" w:cstheme="majorBidi"/>
                <w:szCs w:val="24"/>
              </w:rPr>
            </w:pPr>
          </w:p>
          <w:p w:rsidR="00EB2C5E" w:rsidRPr="00F50194" w:rsidRDefault="00EB2C5E" w:rsidP="00EB2C5E">
            <w:pPr>
              <w:pStyle w:val="a4"/>
              <w:shd w:val="clear" w:color="auto" w:fill="FFFFFF"/>
              <w:ind w:left="0" w:firstLine="720"/>
              <w:rPr>
                <w:rFonts w:asciiTheme="majorBidi" w:hAnsiTheme="majorBidi" w:cstheme="majorBidi"/>
                <w:szCs w:val="24"/>
              </w:rPr>
            </w:pPr>
          </w:p>
          <w:p w:rsidR="006B324C" w:rsidRPr="00F73CE9" w:rsidRDefault="006B324C" w:rsidP="00F73CE9">
            <w:pPr>
              <w:spacing w:after="0" w:line="240" w:lineRule="auto"/>
              <w:ind w:right="-90"/>
              <w:rPr>
                <w:rtl/>
              </w:rPr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Competencies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5E" w:rsidRPr="00F50194" w:rsidRDefault="00EB2C5E" w:rsidP="00EB2C5E">
            <w:pPr>
              <w:pStyle w:val="a4"/>
              <w:shd w:val="clear" w:color="auto" w:fill="FFFFFF"/>
              <w:rPr>
                <w:rFonts w:asciiTheme="majorBidi" w:hAnsiTheme="majorBidi" w:cstheme="majorBidi"/>
                <w:szCs w:val="24"/>
              </w:rPr>
            </w:pPr>
            <w:r w:rsidRPr="00F50194">
              <w:rPr>
                <w:rFonts w:asciiTheme="majorBidi" w:hAnsiTheme="majorBidi" w:cstheme="majorBidi"/>
                <w:szCs w:val="24"/>
              </w:rPr>
              <w:t>C.1 Practical skills or group discussions and critical thinking</w:t>
            </w:r>
          </w:p>
          <w:p w:rsidR="00EB2C5E" w:rsidRPr="00F50194" w:rsidRDefault="00EB2C5E" w:rsidP="00EB2C5E">
            <w:pPr>
              <w:pStyle w:val="a4"/>
              <w:shd w:val="clear" w:color="auto" w:fill="FFFFFF"/>
              <w:rPr>
                <w:rFonts w:asciiTheme="majorBidi" w:hAnsiTheme="majorBidi" w:cstheme="majorBidi"/>
                <w:szCs w:val="24"/>
              </w:rPr>
            </w:pPr>
            <w:r w:rsidRPr="00F50194">
              <w:rPr>
                <w:rFonts w:asciiTheme="majorBidi" w:hAnsiTheme="majorBidi" w:cstheme="majorBidi"/>
                <w:szCs w:val="24"/>
              </w:rPr>
              <w:t>C.2 Practical skills of Developing the ability to design the rational pharmacotherapy regimen according to the patient specific condition</w:t>
            </w:r>
          </w:p>
          <w:p w:rsidR="00EB2C5E" w:rsidRPr="00F50194" w:rsidRDefault="00EB2C5E" w:rsidP="00EB2C5E">
            <w:pPr>
              <w:pStyle w:val="a4"/>
              <w:shd w:val="clear" w:color="auto" w:fill="FFFFFF"/>
              <w:rPr>
                <w:rFonts w:asciiTheme="majorBidi" w:hAnsiTheme="majorBidi" w:cstheme="majorBidi"/>
                <w:szCs w:val="24"/>
              </w:rPr>
            </w:pPr>
            <w:r w:rsidRPr="00F50194">
              <w:rPr>
                <w:rFonts w:asciiTheme="majorBidi" w:hAnsiTheme="majorBidi" w:cstheme="majorBidi"/>
                <w:szCs w:val="24"/>
              </w:rPr>
              <w:t xml:space="preserve">C.3 Practical skills of solving clinical case reports </w:t>
            </w:r>
          </w:p>
          <w:p w:rsidR="006B324C" w:rsidRPr="006B324C" w:rsidRDefault="006B324C" w:rsidP="00F73CE9">
            <w:pPr>
              <w:spacing w:after="0" w:line="240" w:lineRule="auto"/>
              <w:ind w:right="-90"/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Learning Methods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Lectures </w:t>
            </w:r>
          </w:p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Oral dissection </w:t>
            </w:r>
          </w:p>
          <w:p w:rsidR="006B324C" w:rsidRPr="006B324C" w:rsidRDefault="006B324C" w:rsidP="001566A9">
            <w:pPr>
              <w:pStyle w:val="a4"/>
              <w:numPr>
                <w:ilvl w:val="0"/>
                <w:numId w:val="1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6B324C">
              <w:rPr>
                <w:rFonts w:cs="Arial"/>
                <w:sz w:val="22"/>
                <w:szCs w:val="22"/>
              </w:rPr>
              <w:t xml:space="preserve">Assignment </w:t>
            </w:r>
          </w:p>
          <w:p w:rsidR="006B324C" w:rsidRPr="006B324C" w:rsidRDefault="006B324C" w:rsidP="006B324C">
            <w:pPr>
              <w:spacing w:after="0" w:line="240" w:lineRule="auto"/>
              <w:ind w:right="-90"/>
            </w:pP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Evaluation Tools</w:t>
            </w:r>
          </w:p>
        </w:tc>
      </w:tr>
      <w:tr w:rsidR="006B324C" w:rsidRPr="00ED6EAE" w:rsidTr="006B324C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24C" w:rsidRPr="006B324C" w:rsidRDefault="006B324C" w:rsidP="006B324C">
            <w:pPr>
              <w:spacing w:after="0" w:line="240" w:lineRule="auto"/>
              <w:ind w:right="-90"/>
              <w:rPr>
                <w:rtl/>
              </w:rPr>
            </w:pPr>
            <w:r w:rsidRPr="006B324C">
              <w:t>Exams</w:t>
            </w:r>
          </w:p>
          <w:p w:rsidR="006B324C" w:rsidRPr="006B324C" w:rsidRDefault="006B324C" w:rsidP="006B324C">
            <w:pPr>
              <w:spacing w:after="0" w:line="240" w:lineRule="auto"/>
              <w:ind w:right="-90"/>
            </w:pPr>
            <w:r w:rsidRPr="006B324C">
              <w:t xml:space="preserve">Quiz </w:t>
            </w:r>
          </w:p>
        </w:tc>
      </w:tr>
    </w:tbl>
    <w:p w:rsidR="008549C2" w:rsidRPr="006F5F41" w:rsidRDefault="008549C2">
      <w:pPr>
        <w:rPr>
          <w:sz w:val="28"/>
          <w:szCs w:val="28"/>
          <w:rtl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1715"/>
        <w:gridCol w:w="1625"/>
        <w:gridCol w:w="1602"/>
        <w:gridCol w:w="1536"/>
        <w:gridCol w:w="1549"/>
      </w:tblGrid>
      <w:tr w:rsidR="00544A1C" w:rsidRPr="006F5F41" w:rsidTr="004D3877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:rsidR="00544A1C" w:rsidRPr="006F5F41" w:rsidRDefault="00544A1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Week</w:t>
            </w:r>
          </w:p>
        </w:tc>
        <w:tc>
          <w:tcPr>
            <w:tcW w:w="1715" w:type="dxa"/>
            <w:shd w:val="clear" w:color="auto" w:fill="D9D9D9"/>
          </w:tcPr>
          <w:p w:rsidR="00544A1C" w:rsidRPr="006F5F41" w:rsidRDefault="00544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Topics </w:t>
            </w:r>
          </w:p>
        </w:tc>
        <w:tc>
          <w:tcPr>
            <w:tcW w:w="1625" w:type="dxa"/>
            <w:shd w:val="clear" w:color="auto" w:fill="D9D9D9"/>
            <w:vAlign w:val="center"/>
          </w:tcPr>
          <w:p w:rsidR="00544A1C" w:rsidRPr="006F5F41" w:rsidRDefault="00544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Learning methods</w:t>
            </w:r>
          </w:p>
        </w:tc>
        <w:tc>
          <w:tcPr>
            <w:tcW w:w="1602" w:type="dxa"/>
            <w:shd w:val="clear" w:color="auto" w:fill="D9D9D9"/>
            <w:vAlign w:val="center"/>
          </w:tcPr>
          <w:p w:rsidR="00544A1C" w:rsidRPr="006F5F41" w:rsidRDefault="00544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36" w:type="dxa"/>
            <w:shd w:val="clear" w:color="auto" w:fill="D9D9D9"/>
            <w:vAlign w:val="center"/>
          </w:tcPr>
          <w:p w:rsidR="00544A1C" w:rsidRPr="006F5F41" w:rsidRDefault="00544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49" w:type="dxa"/>
            <w:shd w:val="clear" w:color="auto" w:fill="D9D9D9"/>
            <w:vAlign w:val="center"/>
          </w:tcPr>
          <w:p w:rsidR="00544A1C" w:rsidRPr="006F5F41" w:rsidRDefault="00544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Hours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1715" w:type="dxa"/>
          </w:tcPr>
          <w:p w:rsidR="00EB2C5E" w:rsidRPr="008B319E" w:rsidRDefault="00EB2C5E" w:rsidP="00EE33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rPr>
                <w:lang w:bidi="ar-JO"/>
              </w:rPr>
              <w:t>Peptic Ulcer Case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36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3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2.</w:t>
            </w:r>
          </w:p>
        </w:tc>
        <w:tc>
          <w:tcPr>
            <w:tcW w:w="1715" w:type="dxa"/>
            <w:vAlign w:val="center"/>
          </w:tcPr>
          <w:p w:rsidR="00EB2C5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rPr>
                <w:lang w:bidi="ar-JO"/>
              </w:rPr>
              <w:t>Constipation case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36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2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3.</w:t>
            </w:r>
          </w:p>
        </w:tc>
        <w:tc>
          <w:tcPr>
            <w:tcW w:w="1715" w:type="dxa"/>
            <w:vAlign w:val="center"/>
          </w:tcPr>
          <w:p w:rsidR="00EB2C5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rPr>
                <w:lang w:bidi="ar-JO"/>
              </w:rPr>
              <w:t>Diarrhea Case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36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1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1715" w:type="dxa"/>
            <w:vAlign w:val="center"/>
          </w:tcPr>
          <w:p w:rsidR="00EB2C5E" w:rsidRPr="0065070D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lang w:bidi="ar-EG"/>
              </w:rPr>
            </w:pPr>
            <w:r>
              <w:rPr>
                <w:lang w:bidi="ar-JO"/>
              </w:rPr>
              <w:t>N/V case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36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3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1715" w:type="dxa"/>
            <w:vAlign w:val="center"/>
          </w:tcPr>
          <w:p w:rsidR="00EB2C5E" w:rsidRPr="008B319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rPr>
                <w:lang w:bidi="ar-JO"/>
              </w:rPr>
              <w:t>Diabetes case</w:t>
            </w:r>
          </w:p>
        </w:tc>
        <w:tc>
          <w:tcPr>
            <w:tcW w:w="1625" w:type="dxa"/>
          </w:tcPr>
          <w:p w:rsidR="00EB2C5E" w:rsidRPr="006F5F41" w:rsidRDefault="00EB2C5E" w:rsidP="006B47D8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36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2 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6.</w:t>
            </w:r>
          </w:p>
        </w:tc>
        <w:tc>
          <w:tcPr>
            <w:tcW w:w="1715" w:type="dxa"/>
            <w:vAlign w:val="center"/>
          </w:tcPr>
          <w:p w:rsidR="00EB2C5E" w:rsidRPr="008B319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 w:rsidRPr="00484E9B">
              <w:t>Hyperthyroidism case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36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 1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7.</w:t>
            </w:r>
          </w:p>
        </w:tc>
        <w:tc>
          <w:tcPr>
            <w:tcW w:w="1715" w:type="dxa"/>
            <w:vAlign w:val="center"/>
          </w:tcPr>
          <w:p w:rsidR="00EB2C5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Hypothyroidism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Merge w:val="restart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36" w:type="dxa"/>
            <w:vAlign w:val="center"/>
          </w:tcPr>
          <w:p w:rsidR="00EB2C5E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B 2</w:t>
            </w:r>
          </w:p>
        </w:tc>
        <w:tc>
          <w:tcPr>
            <w:tcW w:w="1549" w:type="dxa"/>
            <w:vAlign w:val="center"/>
          </w:tcPr>
          <w:p w:rsidR="00EB2C5E" w:rsidRPr="006F5F41" w:rsidRDefault="00EB2C5E" w:rsidP="00B930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8.</w:t>
            </w:r>
          </w:p>
        </w:tc>
        <w:tc>
          <w:tcPr>
            <w:tcW w:w="1715" w:type="dxa"/>
            <w:vAlign w:val="center"/>
          </w:tcPr>
          <w:p w:rsidR="00EB2C5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 xml:space="preserve">     Ischemic heart disease case 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Merge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36" w:type="dxa"/>
            <w:vAlign w:val="center"/>
          </w:tcPr>
          <w:p w:rsidR="00EB2C5E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 1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9.</w:t>
            </w:r>
          </w:p>
        </w:tc>
        <w:tc>
          <w:tcPr>
            <w:tcW w:w="1715" w:type="dxa"/>
            <w:vAlign w:val="center"/>
          </w:tcPr>
          <w:p w:rsidR="00EB2C5E" w:rsidRPr="008B319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 xml:space="preserve">    Hypertension case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Merge w:val="restart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36" w:type="dxa"/>
            <w:vAlign w:val="center"/>
          </w:tcPr>
          <w:p w:rsidR="00EB2C5E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 2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10.</w:t>
            </w:r>
          </w:p>
        </w:tc>
        <w:tc>
          <w:tcPr>
            <w:tcW w:w="1715" w:type="dxa"/>
            <w:vAlign w:val="center"/>
          </w:tcPr>
          <w:p w:rsidR="00EB2C5E" w:rsidRPr="008B319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 xml:space="preserve">    Anemia case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Merge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36" w:type="dxa"/>
            <w:vAlign w:val="center"/>
          </w:tcPr>
          <w:p w:rsidR="00EB2C5E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 1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11.</w:t>
            </w:r>
          </w:p>
        </w:tc>
        <w:tc>
          <w:tcPr>
            <w:tcW w:w="1715" w:type="dxa"/>
            <w:vAlign w:val="center"/>
          </w:tcPr>
          <w:p w:rsidR="00EB2C5E" w:rsidRPr="008B319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 xml:space="preserve">   Osteoporosis case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 xml:space="preserve">Textbook and </w:t>
            </w:r>
            <w:r w:rsidRPr="006F5F41">
              <w:rPr>
                <w:sz w:val="28"/>
                <w:szCs w:val="28"/>
                <w:lang w:bidi="ar-JO"/>
              </w:rPr>
              <w:lastRenderedPageBreak/>
              <w:t>handouts</w:t>
            </w:r>
          </w:p>
        </w:tc>
        <w:tc>
          <w:tcPr>
            <w:tcW w:w="1602" w:type="dxa"/>
            <w:vMerge w:val="restart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lastRenderedPageBreak/>
              <w:t>Homework</w:t>
            </w:r>
          </w:p>
        </w:tc>
        <w:tc>
          <w:tcPr>
            <w:tcW w:w="1536" w:type="dxa"/>
            <w:vAlign w:val="center"/>
          </w:tcPr>
          <w:p w:rsidR="00EB2C5E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 1</w:t>
            </w:r>
          </w:p>
        </w:tc>
        <w:tc>
          <w:tcPr>
            <w:tcW w:w="1549" w:type="dxa"/>
            <w:vAlign w:val="center"/>
          </w:tcPr>
          <w:p w:rsidR="00EB2C5E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12.</w:t>
            </w:r>
          </w:p>
        </w:tc>
        <w:tc>
          <w:tcPr>
            <w:tcW w:w="1715" w:type="dxa"/>
          </w:tcPr>
          <w:p w:rsidR="00EB2C5E" w:rsidRDefault="00EB2C5E" w:rsidP="00EE33E0">
            <w:pPr>
              <w:shd w:val="clear" w:color="auto" w:fill="FFFFFF"/>
            </w:pPr>
            <w:r>
              <w:t xml:space="preserve"> </w:t>
            </w:r>
            <w:r w:rsidRPr="00484E9B">
              <w:t>Rheumatoid arthritis case</w:t>
            </w:r>
          </w:p>
          <w:p w:rsidR="00EB2C5E" w:rsidRPr="008B319E" w:rsidRDefault="00EB2C5E" w:rsidP="00EE33E0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bidi="ar-EG"/>
              </w:rPr>
            </w:pPr>
            <w:r>
              <w:t>Parkinson’s case</w:t>
            </w:r>
            <w:r>
              <w:rPr>
                <w:rFonts w:ascii="Times New Roman" w:hAnsi="Times New Roman" w:cs="Times New Roman"/>
                <w:color w:val="000000"/>
                <w:lang w:bidi="ar-EG"/>
              </w:rPr>
              <w:t>,</w:t>
            </w:r>
            <w:r>
              <w:t xml:space="preserve"> 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Merge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36" w:type="dxa"/>
            <w:vAlign w:val="center"/>
          </w:tcPr>
          <w:p w:rsidR="00EB2C5E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C 3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EB2C5E" w:rsidRPr="006F5F41" w:rsidTr="004D3877">
        <w:trPr>
          <w:trHeight w:val="397"/>
        </w:trPr>
        <w:tc>
          <w:tcPr>
            <w:tcW w:w="901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13.</w:t>
            </w:r>
          </w:p>
        </w:tc>
        <w:tc>
          <w:tcPr>
            <w:tcW w:w="1715" w:type="dxa"/>
          </w:tcPr>
          <w:p w:rsidR="00EB2C5E" w:rsidRDefault="00EB2C5E" w:rsidP="00EE33E0">
            <w:pPr>
              <w:shd w:val="clear" w:color="auto" w:fill="FFFFFF"/>
            </w:pPr>
            <w:r>
              <w:t>Asthma case</w:t>
            </w:r>
          </w:p>
          <w:p w:rsidR="00EB2C5E" w:rsidRPr="0065070D" w:rsidRDefault="00EB2C5E" w:rsidP="00EE33E0">
            <w:pPr>
              <w:shd w:val="clear" w:color="auto" w:fill="FFFFFF"/>
            </w:pPr>
            <w:r>
              <w:t xml:space="preserve">Epilepsy Case  </w:t>
            </w:r>
          </w:p>
        </w:tc>
        <w:tc>
          <w:tcPr>
            <w:tcW w:w="1625" w:type="dxa"/>
          </w:tcPr>
          <w:p w:rsidR="00EB2C5E" w:rsidRPr="006F5F41" w:rsidRDefault="00EB2C5E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2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36" w:type="dxa"/>
            <w:vAlign w:val="center"/>
          </w:tcPr>
          <w:p w:rsidR="00EB2C5E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A2</w:t>
            </w:r>
            <w:r w:rsidR="00EB2C5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EB2C5E" w:rsidRPr="006F5F41" w:rsidRDefault="00EB2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4D3877" w:rsidRPr="006F5F41" w:rsidTr="004D3877">
        <w:trPr>
          <w:trHeight w:val="397"/>
        </w:trPr>
        <w:tc>
          <w:tcPr>
            <w:tcW w:w="901" w:type="dxa"/>
            <w:vAlign w:val="center"/>
          </w:tcPr>
          <w:p w:rsidR="004D3877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14</w:t>
            </w: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1715" w:type="dxa"/>
          </w:tcPr>
          <w:p w:rsidR="004D3877" w:rsidRDefault="004D3877" w:rsidP="00EE33E0">
            <w:pPr>
              <w:shd w:val="clear" w:color="auto" w:fill="FFFFFF"/>
            </w:pPr>
            <w:r w:rsidRPr="001A0D70">
              <w:rPr>
                <w:lang w:bidi="ar-JO"/>
              </w:rPr>
              <w:t>Schizophrenia</w:t>
            </w:r>
            <w:r>
              <w:rPr>
                <w:lang w:bidi="ar-JO"/>
              </w:rPr>
              <w:t xml:space="preserve"> Case</w:t>
            </w:r>
          </w:p>
        </w:tc>
        <w:tc>
          <w:tcPr>
            <w:tcW w:w="1625" w:type="dxa"/>
          </w:tcPr>
          <w:p w:rsidR="004D3877" w:rsidRPr="006F5F41" w:rsidRDefault="004D3877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2" w:type="dxa"/>
            <w:vAlign w:val="center"/>
          </w:tcPr>
          <w:p w:rsidR="004D3877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36" w:type="dxa"/>
            <w:vAlign w:val="center"/>
          </w:tcPr>
          <w:p w:rsidR="004D3877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C2</w:t>
            </w:r>
          </w:p>
        </w:tc>
        <w:tc>
          <w:tcPr>
            <w:tcW w:w="1549" w:type="dxa"/>
            <w:vAlign w:val="center"/>
          </w:tcPr>
          <w:p w:rsidR="004D3877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</w:tr>
      <w:tr w:rsidR="004D3877" w:rsidRPr="006F5F41" w:rsidTr="004D3877">
        <w:trPr>
          <w:trHeight w:val="397"/>
        </w:trPr>
        <w:tc>
          <w:tcPr>
            <w:tcW w:w="901" w:type="dxa"/>
            <w:vAlign w:val="center"/>
          </w:tcPr>
          <w:p w:rsidR="004D3877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15.</w:t>
            </w:r>
          </w:p>
        </w:tc>
        <w:tc>
          <w:tcPr>
            <w:tcW w:w="1715" w:type="dxa"/>
          </w:tcPr>
          <w:p w:rsidR="004D3877" w:rsidRDefault="004D3877" w:rsidP="00EE33E0">
            <w:pPr>
              <w:shd w:val="clear" w:color="auto" w:fill="FFFFFF"/>
            </w:pPr>
            <w:r>
              <w:t xml:space="preserve">Final exam </w:t>
            </w:r>
          </w:p>
        </w:tc>
        <w:tc>
          <w:tcPr>
            <w:tcW w:w="1625" w:type="dxa"/>
          </w:tcPr>
          <w:p w:rsidR="004D3877" w:rsidRPr="006F5F41" w:rsidRDefault="004D3877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2" w:type="dxa"/>
            <w:vAlign w:val="center"/>
          </w:tcPr>
          <w:p w:rsidR="004D3877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36" w:type="dxa"/>
            <w:vAlign w:val="center"/>
          </w:tcPr>
          <w:p w:rsidR="004D3877" w:rsidRPr="006F5F41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:rsidR="004D3877" w:rsidRDefault="004D3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bookmarkEnd w:id="0"/>
    </w:tbl>
    <w:p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8"/>
        <w:gridCol w:w="7204"/>
      </w:tblGrid>
      <w:tr w:rsidR="008549C2" w:rsidRPr="006F5F41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1050"/>
            </w:tblGrid>
            <w:tr w:rsidR="008549C2" w:rsidRPr="006F5F41">
              <w:trPr>
                <w:trHeight w:val="397"/>
              </w:trPr>
              <w:tc>
                <w:tcPr>
                  <w:tcW w:w="10206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695916" w:rsidRPr="006F5F41" w:rsidTr="00695916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95916" w:rsidRPr="006F5F41" w:rsidTr="00695916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695916" w:rsidRPr="006F5F41" w:rsidTr="00C6265A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:rsidTr="003B6F9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1A76E4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 w:rsidP="00B9303C">
                  <w:pPr>
                    <w:bidi/>
                    <w:spacing w:before="120"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4A3620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474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AE2463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97648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D3364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9A67D4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B3262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3F253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70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B9303C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:rsidTr="0083503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:rsidTr="005C31B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8549C2" w:rsidRPr="006F5F41" w:rsidTr="0060261E">
        <w:trPr>
          <w:trHeight w:val="1034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Book</w:t>
            </w:r>
          </w:p>
        </w:tc>
        <w:tc>
          <w:tcPr>
            <w:tcW w:w="7371" w:type="dxa"/>
            <w:vAlign w:val="center"/>
          </w:tcPr>
          <w:p w:rsidR="00F73CE9" w:rsidRPr="00F91CCD" w:rsidRDefault="00F73CE9" w:rsidP="00F73CE9">
            <w:pPr>
              <w:spacing w:line="204" w:lineRule="auto"/>
              <w:jc w:val="right"/>
              <w:rPr>
                <w:rFonts w:eastAsia="Batang"/>
                <w:sz w:val="28"/>
                <w:szCs w:val="28"/>
                <w:rtl/>
                <w:lang w:val="en-CA" w:eastAsia="ko-KR"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Theme="majorBidi" w:hAnsiTheme="majorBidi" w:cstheme="majorBidi"/>
                <w:sz w:val="24"/>
                <w:lang w:eastAsia="ar-SA"/>
              </w:rPr>
            </w:pPr>
            <w:r w:rsidRPr="007605F8">
              <w:rPr>
                <w:rFonts w:asciiTheme="majorBidi" w:hAnsiTheme="majorBidi" w:cstheme="majorBidi"/>
                <w:b/>
                <w:bCs/>
                <w:sz w:val="24"/>
              </w:rPr>
              <w:t>Primary Textbook: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18"/>
              </w:numPr>
              <w:spacing w:before="100" w:beforeAutospacing="1" w:after="100" w:afterAutospacing="1"/>
              <w:contextualSpacing w:val="0"/>
              <w:rPr>
                <w:rFonts w:asciiTheme="majorBidi" w:hAnsiTheme="majorBidi" w:cstheme="majorBidi"/>
                <w:sz w:val="24"/>
                <w:lang w:eastAsia="ar-SA"/>
              </w:rPr>
            </w:pP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Pharmacotherapy: A Pathophysiological Approach. Joseph </w:t>
            </w:r>
            <w:proofErr w:type="spellStart"/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DiPiro</w:t>
            </w:r>
            <w:proofErr w:type="spellEnd"/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 </w:t>
            </w:r>
            <w:r w:rsidRPr="007605F8">
              <w:rPr>
                <w:rFonts w:asciiTheme="majorBidi" w:hAnsiTheme="majorBidi" w:cstheme="majorBidi"/>
                <w:i/>
                <w:iCs/>
                <w:sz w:val="24"/>
                <w:lang w:eastAsia="ar-SA"/>
              </w:rPr>
              <w:t>et al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, 9</w:t>
            </w:r>
            <w:r w:rsidRPr="007605F8">
              <w:rPr>
                <w:rFonts w:asciiTheme="majorBidi" w:hAnsiTheme="majorBidi" w:cstheme="majorBidi"/>
                <w:sz w:val="24"/>
                <w:vertAlign w:val="superscript"/>
                <w:lang w:eastAsia="ar-SA"/>
              </w:rPr>
              <w:t>th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 edition, 2014.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18"/>
              </w:numPr>
              <w:spacing w:before="100" w:beforeAutospacing="1" w:after="100" w:afterAutospacing="1"/>
              <w:contextualSpacing w:val="0"/>
              <w:rPr>
                <w:rFonts w:asciiTheme="majorBidi" w:hAnsiTheme="majorBidi" w:cstheme="majorBidi"/>
                <w:sz w:val="24"/>
                <w:lang w:eastAsia="ar-SA"/>
              </w:rPr>
            </w:pP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Disease management guidelines (specified in lecture notes)</w:t>
            </w:r>
          </w:p>
          <w:p w:rsidR="004D3877" w:rsidRPr="007605F8" w:rsidRDefault="004D3877" w:rsidP="004D3877">
            <w:pPr>
              <w:pStyle w:val="a4"/>
              <w:numPr>
                <w:ilvl w:val="0"/>
                <w:numId w:val="20"/>
              </w:numPr>
              <w:spacing w:after="200" w:line="204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7605F8">
              <w:rPr>
                <w:rFonts w:asciiTheme="majorBidi" w:hAnsiTheme="majorBidi" w:cstheme="majorBidi"/>
                <w:b/>
                <w:bCs/>
                <w:lang w:val="en-GB"/>
              </w:rPr>
              <w:t xml:space="preserve">Secondary References 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19"/>
              </w:numPr>
              <w:spacing w:before="100" w:beforeAutospacing="1" w:after="100" w:afterAutospacing="1"/>
              <w:contextualSpacing w:val="0"/>
              <w:jc w:val="both"/>
              <w:rPr>
                <w:rFonts w:asciiTheme="majorBidi" w:hAnsiTheme="majorBidi" w:cstheme="majorBidi"/>
                <w:sz w:val="24"/>
                <w:lang w:eastAsia="ar-SA"/>
              </w:rPr>
            </w:pPr>
            <w:proofErr w:type="spellStart"/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Koda</w:t>
            </w:r>
            <w:proofErr w:type="spellEnd"/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-Kimble and Young's Applied Therapeutics: The Clinical Use of Drugs, 10</w:t>
            </w:r>
            <w:r w:rsidRPr="007605F8">
              <w:rPr>
                <w:rFonts w:asciiTheme="majorBidi" w:hAnsiTheme="majorBidi" w:cstheme="majorBidi"/>
                <w:sz w:val="24"/>
                <w:vertAlign w:val="superscript"/>
                <w:lang w:eastAsia="ar-SA"/>
              </w:rPr>
              <w:t>th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 edition, 2013.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19"/>
              </w:numPr>
              <w:spacing w:before="100" w:beforeAutospacing="1" w:after="100" w:afterAutospacing="1"/>
              <w:contextualSpacing w:val="0"/>
              <w:jc w:val="both"/>
              <w:rPr>
                <w:rFonts w:asciiTheme="majorBidi" w:hAnsiTheme="majorBidi" w:cstheme="majorBidi"/>
                <w:sz w:val="24"/>
                <w:lang w:eastAsia="ar-SA"/>
              </w:rPr>
            </w:pP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Pharmacotherapy Handbook. Barbara Wells </w:t>
            </w:r>
            <w:r w:rsidRPr="007605F8">
              <w:rPr>
                <w:rFonts w:asciiTheme="majorBidi" w:hAnsiTheme="majorBidi" w:cstheme="majorBidi"/>
                <w:i/>
                <w:iCs/>
                <w:sz w:val="24"/>
                <w:lang w:eastAsia="ar-SA"/>
              </w:rPr>
              <w:t>et al.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, 9</w:t>
            </w:r>
            <w:r w:rsidRPr="007605F8">
              <w:rPr>
                <w:rFonts w:asciiTheme="majorBidi" w:hAnsiTheme="majorBidi" w:cstheme="majorBidi"/>
                <w:sz w:val="24"/>
                <w:vertAlign w:val="superscript"/>
                <w:lang w:eastAsia="ar-SA"/>
              </w:rPr>
              <w:t>th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 edition, 2015.  </w:t>
            </w:r>
          </w:p>
          <w:p w:rsidR="008549C2" w:rsidRPr="004D3877" w:rsidRDefault="008549C2" w:rsidP="00F73CE9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:rsidR="00F73CE9" w:rsidRPr="00F91CCD" w:rsidRDefault="0060261E" w:rsidP="00F73CE9">
            <w:pPr>
              <w:spacing w:line="204" w:lineRule="auto"/>
              <w:jc w:val="right"/>
              <w:rPr>
                <w:rFonts w:eastAsia="Batang"/>
                <w:sz w:val="28"/>
                <w:szCs w:val="28"/>
                <w:rtl/>
                <w:lang w:val="en-CA" w:eastAsia="ko-KR" w:bidi="ar-JO"/>
              </w:rPr>
            </w:pPr>
            <w:r w:rsidRPr="00B9303C">
              <w:rPr>
                <w:rFonts w:ascii="Times New Roman" w:hAnsi="Times New Roman"/>
                <w:szCs w:val="24"/>
                <w:lang w:bidi="ar-EG"/>
              </w:rPr>
              <w:t xml:space="preserve"> </w:t>
            </w:r>
          </w:p>
          <w:p w:rsidR="004D3877" w:rsidRPr="007605F8" w:rsidRDefault="00F73CE9" w:rsidP="004D3877">
            <w:pPr>
              <w:pStyle w:val="2"/>
              <w:numPr>
                <w:ilvl w:val="0"/>
                <w:numId w:val="20"/>
              </w:numPr>
              <w:spacing w:before="100" w:beforeAutospacing="1" w:after="100" w:afterAutospacing="1"/>
              <w:contextualSpacing w:val="0"/>
              <w:rPr>
                <w:rFonts w:asciiTheme="majorBidi" w:hAnsiTheme="majorBidi" w:cstheme="majorBidi"/>
                <w:sz w:val="24"/>
                <w:lang w:eastAsia="ar-SA"/>
              </w:rPr>
            </w:pPr>
            <w:r>
              <w:rPr>
                <w:b/>
                <w:bCs/>
                <w:sz w:val="28"/>
                <w:szCs w:val="28"/>
                <w:lang w:val="en-CA" w:bidi="ar-JO"/>
              </w:rPr>
              <w:t xml:space="preserve">     </w:t>
            </w:r>
            <w:r w:rsidR="004D3877" w:rsidRPr="007605F8">
              <w:rPr>
                <w:rFonts w:asciiTheme="majorBidi" w:hAnsiTheme="majorBidi" w:cstheme="majorBidi"/>
                <w:b/>
                <w:bCs/>
                <w:sz w:val="24"/>
              </w:rPr>
              <w:t>Primary Textbook: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18"/>
              </w:numPr>
              <w:spacing w:before="100" w:beforeAutospacing="1" w:after="100" w:afterAutospacing="1"/>
              <w:contextualSpacing w:val="0"/>
              <w:rPr>
                <w:rFonts w:asciiTheme="majorBidi" w:hAnsiTheme="majorBidi" w:cstheme="majorBidi"/>
                <w:sz w:val="24"/>
                <w:lang w:eastAsia="ar-SA"/>
              </w:rPr>
            </w:pP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Pharmacotherapy: A Pathophysiological Approach. Joseph </w:t>
            </w:r>
            <w:proofErr w:type="spellStart"/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DiPiro</w:t>
            </w:r>
            <w:proofErr w:type="spellEnd"/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 </w:t>
            </w:r>
            <w:r w:rsidRPr="007605F8">
              <w:rPr>
                <w:rFonts w:asciiTheme="majorBidi" w:hAnsiTheme="majorBidi" w:cstheme="majorBidi"/>
                <w:i/>
                <w:iCs/>
                <w:sz w:val="24"/>
                <w:lang w:eastAsia="ar-SA"/>
              </w:rPr>
              <w:t>et al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, 9</w:t>
            </w:r>
            <w:r w:rsidRPr="007605F8">
              <w:rPr>
                <w:rFonts w:asciiTheme="majorBidi" w:hAnsiTheme="majorBidi" w:cstheme="majorBidi"/>
                <w:sz w:val="24"/>
                <w:vertAlign w:val="superscript"/>
                <w:lang w:eastAsia="ar-SA"/>
              </w:rPr>
              <w:t>th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 edition, 2014.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18"/>
              </w:numPr>
              <w:spacing w:before="100" w:beforeAutospacing="1" w:after="100" w:afterAutospacing="1"/>
              <w:contextualSpacing w:val="0"/>
              <w:rPr>
                <w:rFonts w:asciiTheme="majorBidi" w:hAnsiTheme="majorBidi" w:cstheme="majorBidi"/>
                <w:sz w:val="24"/>
                <w:lang w:eastAsia="ar-SA"/>
              </w:rPr>
            </w:pP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Disease management guidelines (specified in lecture notes)</w:t>
            </w:r>
          </w:p>
          <w:p w:rsidR="004D3877" w:rsidRPr="007605F8" w:rsidRDefault="004D3877" w:rsidP="004D3877">
            <w:pPr>
              <w:pStyle w:val="a4"/>
              <w:numPr>
                <w:ilvl w:val="0"/>
                <w:numId w:val="20"/>
              </w:numPr>
              <w:spacing w:after="200" w:line="204" w:lineRule="auto"/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7605F8">
              <w:rPr>
                <w:rFonts w:asciiTheme="majorBidi" w:hAnsiTheme="majorBidi" w:cstheme="majorBidi"/>
                <w:b/>
                <w:bCs/>
                <w:lang w:val="en-GB"/>
              </w:rPr>
              <w:t xml:space="preserve">Secondary References 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19"/>
              </w:numPr>
              <w:spacing w:before="100" w:beforeAutospacing="1" w:after="100" w:afterAutospacing="1"/>
              <w:contextualSpacing w:val="0"/>
              <w:jc w:val="both"/>
              <w:rPr>
                <w:rFonts w:asciiTheme="majorBidi" w:hAnsiTheme="majorBidi" w:cstheme="majorBidi"/>
                <w:sz w:val="24"/>
                <w:lang w:eastAsia="ar-SA"/>
              </w:rPr>
            </w:pPr>
            <w:proofErr w:type="spellStart"/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Koda</w:t>
            </w:r>
            <w:proofErr w:type="spellEnd"/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-Kimble and Young's Applied Therapeutics: The Clinical Use of Drugs, 10</w:t>
            </w:r>
            <w:r w:rsidRPr="007605F8">
              <w:rPr>
                <w:rFonts w:asciiTheme="majorBidi" w:hAnsiTheme="majorBidi" w:cstheme="majorBidi"/>
                <w:sz w:val="24"/>
                <w:vertAlign w:val="superscript"/>
                <w:lang w:eastAsia="ar-SA"/>
              </w:rPr>
              <w:t>th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 edition, 2013.</w:t>
            </w:r>
          </w:p>
          <w:p w:rsidR="004D3877" w:rsidRPr="007605F8" w:rsidRDefault="004D3877" w:rsidP="004D3877">
            <w:pPr>
              <w:pStyle w:val="2"/>
              <w:numPr>
                <w:ilvl w:val="0"/>
                <w:numId w:val="19"/>
              </w:numPr>
              <w:spacing w:before="100" w:beforeAutospacing="1" w:after="100" w:afterAutospacing="1"/>
              <w:contextualSpacing w:val="0"/>
              <w:jc w:val="both"/>
              <w:rPr>
                <w:rFonts w:asciiTheme="majorBidi" w:hAnsiTheme="majorBidi" w:cstheme="majorBidi"/>
                <w:sz w:val="24"/>
                <w:lang w:eastAsia="ar-SA"/>
              </w:rPr>
            </w:pP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Pharmacotherapy Handbook. Barbara Wells </w:t>
            </w:r>
            <w:r w:rsidRPr="007605F8">
              <w:rPr>
                <w:rFonts w:asciiTheme="majorBidi" w:hAnsiTheme="majorBidi" w:cstheme="majorBidi"/>
                <w:i/>
                <w:iCs/>
                <w:sz w:val="24"/>
                <w:lang w:eastAsia="ar-SA"/>
              </w:rPr>
              <w:t>et al.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>, 9</w:t>
            </w:r>
            <w:r w:rsidRPr="007605F8">
              <w:rPr>
                <w:rFonts w:asciiTheme="majorBidi" w:hAnsiTheme="majorBidi" w:cstheme="majorBidi"/>
                <w:sz w:val="24"/>
                <w:vertAlign w:val="superscript"/>
                <w:lang w:eastAsia="ar-SA"/>
              </w:rPr>
              <w:t>th</w:t>
            </w:r>
            <w:r w:rsidRPr="007605F8">
              <w:rPr>
                <w:rFonts w:asciiTheme="majorBidi" w:hAnsiTheme="majorBidi" w:cstheme="majorBidi"/>
                <w:sz w:val="24"/>
                <w:lang w:eastAsia="ar-SA"/>
              </w:rPr>
              <w:t xml:space="preserve"> edition, 2015.  </w:t>
            </w:r>
          </w:p>
          <w:p w:rsidR="0060261E" w:rsidRPr="004D3877" w:rsidRDefault="0060261E" w:rsidP="00544A1C">
            <w:pPr>
              <w:shd w:val="clear" w:color="auto" w:fill="FFFFFF"/>
              <w:ind w:right="-9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8549C2" w:rsidRPr="006F5F41" w:rsidRDefault="008549C2">
      <w:pPr>
        <w:rPr>
          <w:sz w:val="28"/>
          <w:szCs w:val="28"/>
          <w:lang w:bidi="ar-JO"/>
        </w:rPr>
      </w:pPr>
    </w:p>
    <w:p w:rsidR="008549C2" w:rsidRPr="00544A1C" w:rsidRDefault="00635702" w:rsidP="00544A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Subject Coordinator:             </w:t>
      </w:r>
      <w:r w:rsidR="00544A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Department Head:</w:t>
      </w:r>
    </w:p>
    <w:p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  <w:bookmarkStart w:id="1" w:name="_GoBack"/>
      <w:bookmarkEnd w:id="1"/>
    </w:p>
    <w:p w:rsidR="008549C2" w:rsidRPr="00E719B1" w:rsidRDefault="00E719B1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Last update date</w:t>
      </w:r>
    </w:p>
    <w:sectPr w:rsidR="008549C2" w:rsidRPr="00E719B1" w:rsidSect="00702272">
      <w:headerReference w:type="default" r:id="rId8"/>
      <w:pgSz w:w="12240" w:h="15840"/>
      <w:pgMar w:top="2552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D12" w:rsidRDefault="00691D12">
      <w:pPr>
        <w:spacing w:after="0" w:line="240" w:lineRule="auto"/>
      </w:pPr>
      <w:r>
        <w:separator/>
      </w:r>
    </w:p>
  </w:endnote>
  <w:endnote w:type="continuationSeparator" w:id="0">
    <w:p w:rsidR="00691D12" w:rsidRDefault="0069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D12" w:rsidRDefault="00691D12">
      <w:pPr>
        <w:spacing w:after="0" w:line="240" w:lineRule="auto"/>
      </w:pPr>
      <w:r>
        <w:separator/>
      </w:r>
    </w:p>
  </w:footnote>
  <w:footnote w:type="continuationSeparator" w:id="0">
    <w:p w:rsidR="00691D12" w:rsidRDefault="0069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C2" w:rsidRDefault="00702272">
    <w:pPr>
      <w:pStyle w:val="a5"/>
    </w:pPr>
    <w:r>
      <w:rPr>
        <w:noProof/>
      </w:rPr>
      <w:drawing>
        <wp:anchor distT="0" distB="0" distL="0" distR="0" simplePos="0" relativeHeight="3" behindDoc="0" locked="0" layoutInCell="1" allowOverlap="1" wp14:anchorId="14DF9284" wp14:editId="60048487">
          <wp:simplePos x="0" y="0"/>
          <wp:positionH relativeFrom="margin">
            <wp:posOffset>4782673</wp:posOffset>
          </wp:positionH>
          <wp:positionV relativeFrom="paragraph">
            <wp:posOffset>-1133406</wp:posOffset>
          </wp:positionV>
          <wp:extent cx="1687830" cy="1296035"/>
          <wp:effectExtent l="0" t="0" r="762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" behindDoc="0" locked="0" layoutInCell="1" allowOverlap="1" wp14:anchorId="285D2030" wp14:editId="17A88F8E">
          <wp:simplePos x="0" y="0"/>
          <wp:positionH relativeFrom="margin">
            <wp:posOffset>-299085</wp:posOffset>
          </wp:positionH>
          <wp:positionV relativeFrom="paragraph">
            <wp:posOffset>-1266190</wp:posOffset>
          </wp:positionV>
          <wp:extent cx="1386205" cy="1265555"/>
          <wp:effectExtent l="0" t="0" r="4445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86436A"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38980451" wp14:editId="3AEA6713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Mutah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</w:rPr>
                            <w:t xml:space="preserve"> University</w:t>
                          </w:r>
                        </w:p>
                        <w:p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" stroked="f" strokeweight=".5pt">
              <v:textbox>
                <w:txbxContent>
                  <w:p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</w:rPr>
                      <w:t>Mutah</w:t>
                    </w:r>
                    <w:proofErr w:type="spellEnd"/>
                    <w:r>
                      <w:rPr>
                        <w:rFonts w:ascii="Times New Roman" w:hAnsi="Times New Roman" w:cs="Times New Roman"/>
                      </w:rPr>
                      <w:t xml:space="preserve"> University</w:t>
                    </w:r>
                  </w:p>
                  <w:p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436A"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4D8120F6" wp14:editId="6DDA6E22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101" o:spid="_x0000_s1026" style="position:absolute;left:0;text-align:lef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" strokeweight="1.5pt">
              <v:stroke joinstyle="miter"/>
            </v:line>
          </w:pict>
        </mc:Fallback>
      </mc:AlternateContent>
    </w:r>
  </w:p>
  <w:p w:rsidR="008549C2" w:rsidRDefault="00854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13F6A07"/>
    <w:multiLevelType w:val="hybridMultilevel"/>
    <w:tmpl w:val="3F7AAD72"/>
    <w:lvl w:ilvl="0" w:tplc="FECA4A92">
      <w:start w:val="1"/>
      <w:numFmt w:val="decimal"/>
      <w:lvlText w:val="%1."/>
      <w:lvlJc w:val="left"/>
      <w:pPr>
        <w:ind w:left="360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B7780"/>
    <w:multiLevelType w:val="hybridMultilevel"/>
    <w:tmpl w:val="970C3720"/>
    <w:lvl w:ilvl="0" w:tplc="73BA1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02826E8"/>
    <w:multiLevelType w:val="hybridMultilevel"/>
    <w:tmpl w:val="7E505A22"/>
    <w:lvl w:ilvl="0" w:tplc="F230B2EC">
      <w:start w:val="1"/>
      <w:numFmt w:val="decimal"/>
      <w:lvlText w:val="A.%1."/>
      <w:lvlJc w:val="left"/>
      <w:pPr>
        <w:ind w:left="108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765DF3"/>
    <w:multiLevelType w:val="hybridMultilevel"/>
    <w:tmpl w:val="3F7AAD72"/>
    <w:lvl w:ilvl="0" w:tplc="FECA4A92">
      <w:start w:val="1"/>
      <w:numFmt w:val="decimal"/>
      <w:lvlText w:val="%1."/>
      <w:lvlJc w:val="left"/>
      <w:pPr>
        <w:ind w:left="360" w:hanging="36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465CD6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B2CEA"/>
    <w:multiLevelType w:val="hybridMultilevel"/>
    <w:tmpl w:val="916C4852"/>
    <w:lvl w:ilvl="0" w:tplc="9E4C3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D3BA7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61A8B"/>
    <w:multiLevelType w:val="hybridMultilevel"/>
    <w:tmpl w:val="2F702696"/>
    <w:lvl w:ilvl="0" w:tplc="59740C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2"/>
  </w:num>
  <w:num w:numId="13">
    <w:abstractNumId w:val="13"/>
  </w:num>
  <w:num w:numId="14">
    <w:abstractNumId w:val="16"/>
  </w:num>
  <w:num w:numId="15">
    <w:abstractNumId w:val="18"/>
  </w:num>
  <w:num w:numId="16">
    <w:abstractNumId w:val="14"/>
  </w:num>
  <w:num w:numId="17">
    <w:abstractNumId w:val="17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C2"/>
    <w:rsid w:val="000D20D8"/>
    <w:rsid w:val="0011318A"/>
    <w:rsid w:val="00246C55"/>
    <w:rsid w:val="00297A0D"/>
    <w:rsid w:val="002F152B"/>
    <w:rsid w:val="00373850"/>
    <w:rsid w:val="003C3A2A"/>
    <w:rsid w:val="0047350A"/>
    <w:rsid w:val="00473A57"/>
    <w:rsid w:val="004D3877"/>
    <w:rsid w:val="00506BF8"/>
    <w:rsid w:val="00544A1C"/>
    <w:rsid w:val="0060261E"/>
    <w:rsid w:val="00635702"/>
    <w:rsid w:val="00682149"/>
    <w:rsid w:val="00691D12"/>
    <w:rsid w:val="00695916"/>
    <w:rsid w:val="006B324C"/>
    <w:rsid w:val="006F5F41"/>
    <w:rsid w:val="00702272"/>
    <w:rsid w:val="007764FB"/>
    <w:rsid w:val="0080761A"/>
    <w:rsid w:val="0083632F"/>
    <w:rsid w:val="008549C2"/>
    <w:rsid w:val="0086436A"/>
    <w:rsid w:val="00874AF5"/>
    <w:rsid w:val="008C13AE"/>
    <w:rsid w:val="00B9303C"/>
    <w:rsid w:val="00BB24DA"/>
    <w:rsid w:val="00C52955"/>
    <w:rsid w:val="00D833DD"/>
    <w:rsid w:val="00DC4672"/>
    <w:rsid w:val="00DF353F"/>
    <w:rsid w:val="00E64A9C"/>
    <w:rsid w:val="00E719B1"/>
    <w:rsid w:val="00EA4C02"/>
    <w:rsid w:val="00EB2C5E"/>
    <w:rsid w:val="00F21AF8"/>
    <w:rsid w:val="00F73CE9"/>
    <w:rsid w:val="00F96DEF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a3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Pr>
      <w:rFonts w:cs="Times New Roman"/>
    </w:rPr>
  </w:style>
  <w:style w:type="paragraph" w:styleId="a6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Pr>
      <w:rFonts w:cs="Times New Roman"/>
    </w:rPr>
  </w:style>
  <w:style w:type="character" w:customStyle="1" w:styleId="a-size-extra-large">
    <w:name w:val="a-size-extra-large"/>
    <w:basedOn w:val="a0"/>
    <w:uiPriority w:val="99"/>
    <w:rPr>
      <w:rFonts w:cs="Times New Roman"/>
    </w:rPr>
  </w:style>
  <w:style w:type="character" w:styleId="Hyperlink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a0"/>
    <w:uiPriority w:val="99"/>
    <w:rPr>
      <w:rFonts w:cs="Times New Roman"/>
    </w:rPr>
  </w:style>
  <w:style w:type="character" w:customStyle="1" w:styleId="author">
    <w:name w:val="author"/>
    <w:basedOn w:val="a0"/>
    <w:uiPriority w:val="99"/>
    <w:rPr>
      <w:rFonts w:cs="Times New Roman"/>
    </w:rPr>
  </w:style>
  <w:style w:type="character" w:customStyle="1" w:styleId="a-color-secondary">
    <w:name w:val="a-color-secondary"/>
    <w:basedOn w:val="a0"/>
    <w:uiPriority w:val="99"/>
    <w:rPr>
      <w:rFonts w:cs="Times New Roma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Pr>
      <w:rFonts w:cs="Times New Roman"/>
      <w:i/>
    </w:rPr>
  </w:style>
  <w:style w:type="paragraph" w:styleId="a9">
    <w:name w:val="caption"/>
    <w:basedOn w:val="a"/>
    <w:next w:val="a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List 2"/>
    <w:basedOn w:val="a"/>
    <w:rsid w:val="004D3877"/>
    <w:pPr>
      <w:spacing w:after="0" w:line="240" w:lineRule="auto"/>
      <w:ind w:left="720" w:hanging="360"/>
      <w:contextualSpacing/>
    </w:pPr>
    <w:rPr>
      <w:rFonts w:ascii="Arial" w:eastAsia="Times New Roman" w:hAnsi="Arial" w:cs="Times New Roman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a3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Pr>
      <w:rFonts w:cs="Times New Roman"/>
    </w:rPr>
  </w:style>
  <w:style w:type="paragraph" w:styleId="a6">
    <w:name w:val="footer"/>
    <w:basedOn w:val="a"/>
    <w:link w:val="Char1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Pr>
      <w:rFonts w:cs="Times New Roman"/>
    </w:rPr>
  </w:style>
  <w:style w:type="character" w:customStyle="1" w:styleId="a-size-extra-large">
    <w:name w:val="a-size-extra-large"/>
    <w:basedOn w:val="a0"/>
    <w:uiPriority w:val="99"/>
    <w:rPr>
      <w:rFonts w:cs="Times New Roman"/>
    </w:rPr>
  </w:style>
  <w:style w:type="character" w:styleId="Hyperlink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a0"/>
    <w:uiPriority w:val="99"/>
    <w:rPr>
      <w:rFonts w:cs="Times New Roman"/>
    </w:rPr>
  </w:style>
  <w:style w:type="character" w:customStyle="1" w:styleId="author">
    <w:name w:val="author"/>
    <w:basedOn w:val="a0"/>
    <w:uiPriority w:val="99"/>
    <w:rPr>
      <w:rFonts w:cs="Times New Roman"/>
    </w:rPr>
  </w:style>
  <w:style w:type="character" w:customStyle="1" w:styleId="a-color-secondary">
    <w:name w:val="a-color-secondary"/>
    <w:basedOn w:val="a0"/>
    <w:uiPriority w:val="99"/>
    <w:rPr>
      <w:rFonts w:cs="Times New Roman"/>
    </w:r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Pr>
      <w:rFonts w:cs="Times New Roman"/>
      <w:i/>
    </w:rPr>
  </w:style>
  <w:style w:type="paragraph" w:styleId="a9">
    <w:name w:val="caption"/>
    <w:basedOn w:val="a"/>
    <w:next w:val="a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List 2"/>
    <w:basedOn w:val="a"/>
    <w:rsid w:val="004D3877"/>
    <w:pPr>
      <w:spacing w:after="0" w:line="240" w:lineRule="auto"/>
      <w:ind w:left="720" w:hanging="360"/>
      <w:contextualSpacing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7CF22-F171-4120-A744-6C1FCD51C1DA}"/>
</file>

<file path=customXml/itemProps2.xml><?xml version="1.0" encoding="utf-8"?>
<ds:datastoreItem xmlns:ds="http://schemas.openxmlformats.org/officeDocument/2006/customXml" ds:itemID="{AA2F53F1-04E0-49BE-B1C2-9CA171AC3ECD}"/>
</file>

<file path=customXml/itemProps3.xml><?xml version="1.0" encoding="utf-8"?>
<ds:datastoreItem xmlns:ds="http://schemas.openxmlformats.org/officeDocument/2006/customXml" ds:itemID="{3D6410D2-3C17-4A1D-AA56-849B9F27D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GIZ</dc:creator>
  <cp:lastModifiedBy>pc</cp:lastModifiedBy>
  <cp:revision>2</cp:revision>
  <dcterms:created xsi:type="dcterms:W3CDTF">2023-12-03T21:42:00Z</dcterms:created>
  <dcterms:modified xsi:type="dcterms:W3CDTF">2023-12-03T21:42:00Z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</Properties>
</file>